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ageBreakBefore/>
        <w:spacing w:line="240" w:lineRule="auto"/>
      </w:pPr>
      <w:r>
        <w:drawing>
          <wp:inline xmlns:a="http://schemas.openxmlformats.org/drawingml/2006/main" xmlns:pic="http://schemas.openxmlformats.org/drawingml/2006/picture">
            <wp:extent cx="6982961" cy="9869876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982961" cy="986987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headerReference w:type="default" r:id="rId9"/>
      <w:footerReference w:type="default" r:id="rId10"/>
      <w:pgSz w:w="12240" w:h="16848"/>
      <w:pgMar w:top="504" w:right="432" w:bottom="504" w:left="432" w:header="173" w:footer="17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Original and source details: https://isotopesds.com/documents/bce8accd997346db352d1741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Converted Word copy • Original supplier PDF pages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Arial" w:hAnsi="Arial"/>
      <w:sz w:val="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Molybdenum Trioxide, Enriched Molybdenum Trioxide.</dc:title>
  <dc:subject>PDF page-image conversion. Original supplier PDF is authoritative.</dc:subject>
  <dc:creator>IsotopeSDS — conversion of supplier source</dc:creator>
  <cp:keywords/>
  <dc:description>Original publisher: Neonest AB / BuyIsotope. PDF SHA-256: bce8accd997346db352d17417eb7bdb8fb0ee69ef8e6700a787b56f69c996504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